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7AB83" w14:textId="77777777" w:rsidR="00DD7ECF" w:rsidRDefault="00DD7ECF" w:rsidP="00DD7ECF">
      <w:pPr>
        <w:spacing w:after="15"/>
        <w:rPr>
          <w:rFonts w:ascii="Arial" w:eastAsia="Times New Roman" w:hAnsi="Arial" w:cs="Arial"/>
          <w:color w:val="FFFFFF"/>
          <w:kern w:val="0"/>
          <w:sz w:val="2"/>
          <w:szCs w:val="2"/>
          <w14:ligatures w14:val="none"/>
        </w:rPr>
      </w:pPr>
      <w:r>
        <w:rPr>
          <w:rFonts w:ascii="Arial" w:eastAsia="Times New Roman" w:hAnsi="Arial" w:cs="Arial"/>
          <w:color w:val="FFFFFF"/>
          <w:kern w:val="0"/>
          <w:sz w:val="2"/>
          <w:szCs w:val="2"/>
          <w14:ligatures w14:val="none"/>
        </w:rPr>
        <w:t>Helping you meet your financial goals.</w:t>
      </w:r>
    </w:p>
    <w:tbl>
      <w:tblPr>
        <w:tblW w:w="5000" w:type="pct"/>
        <w:jc w:val="center"/>
        <w:tblCellSpacing w:w="0" w:type="dxa"/>
        <w:shd w:val="clear" w:color="auto" w:fill="E8EEEE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DD7ECF" w14:paraId="3158574A" w14:textId="77777777" w:rsidTr="00DD7ECF">
        <w:trPr>
          <w:tblCellSpacing w:w="0" w:type="dxa"/>
          <w:jc w:val="center"/>
        </w:trPr>
        <w:tc>
          <w:tcPr>
            <w:tcW w:w="9000" w:type="dxa"/>
            <w:shd w:val="clear" w:color="auto" w:fill="FFFFFF"/>
            <w:tcMar>
              <w:top w:w="300" w:type="dxa"/>
              <w:left w:w="0" w:type="dxa"/>
              <w:bottom w:w="150" w:type="dxa"/>
              <w:right w:w="0" w:type="dxa"/>
            </w:tcMar>
            <w:hideMark/>
          </w:tcPr>
          <w:tbl>
            <w:tblPr>
              <w:tblW w:w="84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00"/>
            </w:tblGrid>
            <w:tr w:rsidR="00DD7ECF" w14:paraId="4BE1B6AB" w14:textId="77777777">
              <w:trPr>
                <w:tblCellSpacing w:w="0" w:type="dxa"/>
                <w:jc w:val="center"/>
              </w:trPr>
              <w:tc>
                <w:tcPr>
                  <w:tcW w:w="5000" w:type="pct"/>
                  <w:hideMark/>
                </w:tcPr>
                <w:p w14:paraId="344B6801" w14:textId="2561C456" w:rsidR="00DD7ECF" w:rsidRDefault="00DD7ECF">
                  <w:pPr>
                    <w:rPr>
                      <w:rFonts w:eastAsia="Times New Roman" w:cs="Aptos"/>
                      <w:kern w:val="0"/>
                      <w:sz w:val="24"/>
                      <w:szCs w:val="24"/>
                      <w14:ligatures w14:val="none"/>
                    </w:rPr>
                  </w:pPr>
                  <w:r>
                    <w:rPr>
                      <w:rFonts w:eastAsia="Times New Roman" w:cs="Aptos"/>
                      <w:noProof/>
                      <w:kern w:val="0"/>
                      <w:sz w:val="24"/>
                      <w:szCs w:val="24"/>
                      <w14:ligatures w14:val="none"/>
                    </w:rPr>
                    <w:drawing>
                      <wp:inline distT="0" distB="0" distL="0" distR="0" wp14:anchorId="5F4BD459" wp14:editId="05298862">
                        <wp:extent cx="1143000" cy="361950"/>
                        <wp:effectExtent l="0" t="0" r="0" b="0"/>
                        <wp:docPr id="1019314890" name="Picture 6" descr="Fidelity Investmen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Fidelity Investmen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0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D29A2D4" w14:textId="77777777" w:rsidR="00DD7ECF" w:rsidRDefault="00DD7ECF">
            <w:pPr>
              <w:jc w:val="center"/>
              <w:rPr>
                <w:kern w:val="0"/>
                <w14:ligatures w14:val="none"/>
              </w:rPr>
            </w:pPr>
          </w:p>
        </w:tc>
      </w:tr>
      <w:tr w:rsidR="00DD7ECF" w14:paraId="2DC1E2CE" w14:textId="77777777" w:rsidTr="00DD7ECF">
        <w:trPr>
          <w:tblCellSpacing w:w="0" w:type="dxa"/>
          <w:jc w:val="center"/>
        </w:trPr>
        <w:tc>
          <w:tcPr>
            <w:tcW w:w="5000" w:type="pct"/>
            <w:shd w:val="clear" w:color="auto" w:fill="E8EEEE"/>
            <w:hideMark/>
          </w:tcPr>
          <w:tbl>
            <w:tblPr>
              <w:tblW w:w="9000" w:type="dxa"/>
              <w:jc w:val="center"/>
              <w:tblCellSpacing w:w="0" w:type="dxa"/>
              <w:shd w:val="clear" w:color="auto" w:fill="E8EEEE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DD7ECF" w14:paraId="5CB0D0CE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8EEEE"/>
                  <w:hideMark/>
                </w:tcPr>
                <w:p w14:paraId="2519752C" w14:textId="7649B435" w:rsidR="00DD7ECF" w:rsidRDefault="00DD7ECF">
                  <w:pPr>
                    <w:jc w:val="center"/>
                    <w:rPr>
                      <w:rFonts w:eastAsia="Times New Roman" w:cs="Aptos"/>
                      <w:kern w:val="0"/>
                      <w:sz w:val="24"/>
                      <w:szCs w:val="24"/>
                      <w14:ligatures w14:val="none"/>
                    </w:rPr>
                  </w:pPr>
                  <w:r>
                    <w:rPr>
                      <w:rFonts w:eastAsia="Times New Roman" w:cs="Aptos"/>
                      <w:noProof/>
                      <w:kern w:val="0"/>
                      <w:sz w:val="24"/>
                      <w:szCs w:val="24"/>
                      <w14:ligatures w14:val="none"/>
                    </w:rPr>
                    <w:drawing>
                      <wp:inline distT="0" distB="0" distL="0" distR="0" wp14:anchorId="7B1E4627" wp14:editId="4DEC1E0D">
                        <wp:extent cx="5715000" cy="2209800"/>
                        <wp:effectExtent l="0" t="0" r="0" b="0"/>
                        <wp:docPr id="957641041" name="Picture 5" descr="A financial resource created for the military community. [Reflective father sitting with his daughter resting her head on his lap.]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A financial resource created for the military community. [Reflective father sitting with his daughter resting her head on his lap.]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0" cy="2209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D7ECF" w14:paraId="6A41723F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600" w:type="dxa"/>
                    <w:left w:w="0" w:type="dxa"/>
                    <w:bottom w:w="600" w:type="dxa"/>
                    <w:right w:w="0" w:type="dxa"/>
                  </w:tcMar>
                  <w:hideMark/>
                </w:tcPr>
                <w:tbl>
                  <w:tblPr>
                    <w:tblW w:w="8490" w:type="dxa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490"/>
                  </w:tblGrid>
                  <w:tr w:rsidR="00DD7ECF" w14:paraId="7996312D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hideMark/>
                      </w:tcPr>
                      <w:p w14:paraId="0647550B" w14:textId="77777777" w:rsidR="00DD7ECF" w:rsidRDefault="00DD7ECF">
                        <w:pPr>
                          <w:spacing w:before="100" w:beforeAutospacing="1" w:after="100" w:afterAutospacing="1" w:line="330" w:lineRule="atLeast"/>
                          <w:rPr>
                            <w:rFonts w:ascii="Arial" w:eastAsia="Times New Roman" w:hAnsi="Arial" w:cs="Arial"/>
                            <w:color w:val="000000"/>
                            <w:kern w:val="0"/>
                            <w:sz w:val="24"/>
                            <w:szCs w:val="24"/>
                            <w14:ligatures w14:val="none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kern w:val="0"/>
                            <w:sz w:val="24"/>
                            <w:szCs w:val="24"/>
                            <w14:ligatures w14:val="none"/>
                          </w:rPr>
                          <w:t>How can service members and their families navigate the financial landscape of life after a military career? Fidelity is here to help with resources that can help you in making short- and long-term financial decisions.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kern w:val="0"/>
                            <w:sz w:val="24"/>
                            <w:szCs w:val="24"/>
                            <w14:ligatures w14:val="none"/>
                          </w:rPr>
                          <w:br/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kern w:val="0"/>
                            <w:sz w:val="24"/>
                            <w:szCs w:val="24"/>
                            <w14:ligatures w14:val="none"/>
                          </w:rPr>
                          <w:br/>
                          <w:t>We understand your unique needs and have resources available to help you make informed decisions as you move ahead.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kern w:val="0"/>
                            <w:sz w:val="24"/>
                            <w:szCs w:val="24"/>
                            <w14:ligatures w14:val="none"/>
                          </w:rPr>
                          <w:br/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kern w:val="0"/>
                            <w:sz w:val="24"/>
                            <w:szCs w:val="24"/>
                            <w14:ligatures w14:val="none"/>
                          </w:rPr>
                          <w:br/>
                          <w:t>Just go to our page </w:t>
                        </w:r>
                        <w:hyperlink r:id="rId9" w:tgtFrame="_blank" w:history="1">
                          <w:r>
                            <w:rPr>
                              <w:rStyle w:val="Hyperlink"/>
                              <w:rFonts w:ascii="Arial" w:eastAsia="Times New Roman" w:hAnsi="Arial" w:cs="Arial"/>
                              <w:color w:val="0074FF"/>
                              <w:kern w:val="0"/>
                              <w:sz w:val="24"/>
                              <w:szCs w:val="24"/>
                              <w14:ligatures w14:val="none"/>
                            </w:rPr>
                            <w:t>dedicated to the Military community</w:t>
                          </w:r>
                        </w:hyperlink>
                        <w:r>
                          <w:rPr>
                            <w:rFonts w:ascii="Arial" w:eastAsia="Times New Roman" w:hAnsi="Arial" w:cs="Arial"/>
                            <w:color w:val="000000"/>
                            <w:kern w:val="0"/>
                            <w:sz w:val="24"/>
                            <w:szCs w:val="24"/>
                            <w14:ligatures w14:val="none"/>
                          </w:rPr>
                          <w:t>, where we cover topics such as:</w:t>
                        </w:r>
                      </w:p>
                    </w:tc>
                  </w:tr>
                  <w:tr w:rsidR="00DD7ECF" w14:paraId="02DA5FC0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300" w:type="dxa"/>
                          <w:left w:w="0" w:type="dxa"/>
                          <w:bottom w:w="300" w:type="dxa"/>
                          <w:right w:w="0" w:type="dxa"/>
                        </w:tcMar>
                        <w:hideMark/>
                      </w:tcPr>
                      <w:tbl>
                        <w:tblPr>
                          <w:tblW w:w="8490" w:type="dxa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50"/>
                          <w:gridCol w:w="8040"/>
                        </w:tblGrid>
                        <w:tr w:rsidR="00DD7ECF" w14:paraId="5894CE90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450" w:type="dxa"/>
                              <w:hideMark/>
                            </w:tcPr>
                            <w:p w14:paraId="11E995AB" w14:textId="77777777" w:rsidR="00DD7ECF" w:rsidRDefault="00DD7ECF">
                              <w:pPr>
                                <w:spacing w:line="330" w:lineRule="atLeast"/>
                                <w:rPr>
                                  <w:rFonts w:ascii="Arial" w:eastAsia="Times New Roman" w:hAnsi="Arial" w:cs="Arial"/>
                                  <w:color w:val="000000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" w:eastAsia="Times New Roman" w:hAnsi="Arial" w:cs="Arial"/>
                                  <w:color w:val="000000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  <w:t>•</w:t>
                              </w:r>
                            </w:p>
                          </w:tc>
                          <w:tc>
                            <w:tcPr>
                              <w:tcW w:w="0" w:type="auto"/>
                              <w:hideMark/>
                            </w:tcPr>
                            <w:p w14:paraId="491F8096" w14:textId="77777777" w:rsidR="00DD7ECF" w:rsidRDefault="00DD7ECF">
                              <w:pPr>
                                <w:spacing w:line="330" w:lineRule="atLeast"/>
                                <w:rPr>
                                  <w:rFonts w:ascii="Arial" w:eastAsia="Times New Roman" w:hAnsi="Arial" w:cs="Arial"/>
                                  <w:color w:val="000000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" w:eastAsia="Times New Roman" w:hAnsi="Arial" w:cs="Arial"/>
                                  <w:color w:val="000000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  <w:t xml:space="preserve">The 3 </w:t>
                              </w:r>
                              <w:proofErr w:type="gramStart"/>
                              <w:r>
                                <w:rPr>
                                  <w:rFonts w:ascii="Arial" w:eastAsia="Times New Roman" w:hAnsi="Arial" w:cs="Arial"/>
                                  <w:color w:val="000000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  <w:t>A’s</w:t>
                              </w:r>
                              <w:proofErr w:type="gramEnd"/>
                              <w:r>
                                <w:rPr>
                                  <w:rFonts w:ascii="Arial" w:eastAsia="Times New Roman" w:hAnsi="Arial" w:cs="Arial"/>
                                  <w:color w:val="000000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  <w:t xml:space="preserve"> of successful saving</w:t>
                              </w:r>
                            </w:p>
                          </w:tc>
                        </w:tr>
                        <w:tr w:rsidR="00DD7ECF" w14:paraId="5712A9A5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450" w:type="dxa"/>
                              <w:hideMark/>
                            </w:tcPr>
                            <w:p w14:paraId="5FC53C82" w14:textId="77777777" w:rsidR="00DD7ECF" w:rsidRDefault="00DD7ECF">
                              <w:pPr>
                                <w:spacing w:line="330" w:lineRule="atLeast"/>
                                <w:rPr>
                                  <w:rFonts w:ascii="Arial" w:eastAsia="Times New Roman" w:hAnsi="Arial" w:cs="Arial"/>
                                  <w:color w:val="000000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" w:eastAsia="Times New Roman" w:hAnsi="Arial" w:cs="Arial"/>
                                  <w:color w:val="000000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  <w:t>•</w:t>
                              </w:r>
                            </w:p>
                          </w:tc>
                          <w:tc>
                            <w:tcPr>
                              <w:tcW w:w="0" w:type="auto"/>
                              <w:hideMark/>
                            </w:tcPr>
                            <w:p w14:paraId="2CAF2B08" w14:textId="77777777" w:rsidR="00DD7ECF" w:rsidRDefault="00DD7ECF">
                              <w:pPr>
                                <w:spacing w:line="330" w:lineRule="atLeast"/>
                                <w:rPr>
                                  <w:rFonts w:ascii="Arial" w:eastAsia="Times New Roman" w:hAnsi="Arial" w:cs="Arial"/>
                                  <w:color w:val="000000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" w:eastAsia="Times New Roman" w:hAnsi="Arial" w:cs="Arial"/>
                                  <w:color w:val="000000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  <w:t>4 rules for retirement savings</w:t>
                              </w:r>
                            </w:p>
                          </w:tc>
                        </w:tr>
                        <w:tr w:rsidR="00DD7ECF" w14:paraId="45CC08A8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450" w:type="dxa"/>
                              <w:hideMark/>
                            </w:tcPr>
                            <w:p w14:paraId="020313AF" w14:textId="77777777" w:rsidR="00DD7ECF" w:rsidRDefault="00DD7ECF">
                              <w:pPr>
                                <w:spacing w:line="330" w:lineRule="atLeast"/>
                                <w:rPr>
                                  <w:rFonts w:ascii="Arial" w:eastAsia="Times New Roman" w:hAnsi="Arial" w:cs="Arial"/>
                                  <w:color w:val="000000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" w:eastAsia="Times New Roman" w:hAnsi="Arial" w:cs="Arial"/>
                                  <w:color w:val="000000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  <w:t>•</w:t>
                              </w:r>
                            </w:p>
                          </w:tc>
                          <w:tc>
                            <w:tcPr>
                              <w:tcW w:w="0" w:type="auto"/>
                              <w:hideMark/>
                            </w:tcPr>
                            <w:p w14:paraId="4B16D3E6" w14:textId="77777777" w:rsidR="00DD7ECF" w:rsidRDefault="00DD7ECF">
                              <w:pPr>
                                <w:spacing w:line="330" w:lineRule="atLeast"/>
                                <w:rPr>
                                  <w:rFonts w:ascii="Arial" w:eastAsia="Times New Roman" w:hAnsi="Arial" w:cs="Arial"/>
                                  <w:color w:val="000000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" w:eastAsia="Times New Roman" w:hAnsi="Arial" w:cs="Arial"/>
                                  <w:color w:val="000000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  <w:t>How to pick a mortgage</w:t>
                              </w:r>
                            </w:p>
                          </w:tc>
                        </w:tr>
                      </w:tbl>
                      <w:p w14:paraId="3F74E74E" w14:textId="77777777" w:rsidR="00DD7ECF" w:rsidRDefault="00DD7ECF">
                        <w:pPr>
                          <w:jc w:val="center"/>
                          <w:rPr>
                            <w:kern w:val="0"/>
                            <w14:ligatures w14:val="none"/>
                          </w:rPr>
                        </w:pPr>
                      </w:p>
                    </w:tc>
                  </w:tr>
                  <w:tr w:rsidR="00DD7ECF" w14:paraId="76C5797A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0" w:type="dxa"/>
                          <w:bottom w:w="600" w:type="dxa"/>
                          <w:right w:w="0" w:type="dxa"/>
                        </w:tcMar>
                        <w:hideMark/>
                      </w:tcPr>
                      <w:p w14:paraId="0E97F603" w14:textId="77777777" w:rsidR="00DD7ECF" w:rsidRDefault="00DD7ECF">
                        <w:pPr>
                          <w:spacing w:before="100" w:beforeAutospacing="1" w:after="100" w:afterAutospacing="1" w:line="330" w:lineRule="atLeast"/>
                          <w:rPr>
                            <w:rFonts w:ascii="Arial" w:eastAsia="Times New Roman" w:hAnsi="Arial" w:cs="Arial"/>
                            <w:color w:val="000000"/>
                            <w:kern w:val="0"/>
                            <w:sz w:val="24"/>
                            <w:szCs w:val="24"/>
                            <w14:ligatures w14:val="none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kern w:val="0"/>
                            <w:sz w:val="24"/>
                            <w:szCs w:val="24"/>
                            <w14:ligatures w14:val="none"/>
                          </w:rPr>
                          <w:t>Visit our Community Zone today and let us help you navigate the transition to civilian life as you create a financial future for you and your loved ones.</w:t>
                        </w:r>
                      </w:p>
                    </w:tc>
                  </w:tr>
                  <w:tr w:rsidR="00DD7ECF" w14:paraId="131F7424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3600" w:type="dxa"/>
                          <w:jc w:val="center"/>
                          <w:tblCellSpacing w:w="0" w:type="dxa"/>
                          <w:shd w:val="clear" w:color="auto" w:fill="368627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600"/>
                        </w:tblGrid>
                        <w:tr w:rsidR="00DD7ECF" w14:paraId="69B4F046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368627"/>
                              <w:hideMark/>
                            </w:tcPr>
                            <w:p w14:paraId="10D22A7E" w14:textId="46A1018D" w:rsidR="00DD7ECF" w:rsidRDefault="00DD7ECF">
                              <w:pPr>
                                <w:rPr>
                                  <w:rFonts w:eastAsia="Times New Roman" w:cs="Aptos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eastAsia="Times New Roman" w:cs="Aptos"/>
                                  <w:noProof/>
                                  <w:color w:val="0000FF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  <w:drawing>
                                  <wp:inline distT="0" distB="0" distL="0" distR="0" wp14:anchorId="53762E9E" wp14:editId="5B14C39B">
                                    <wp:extent cx="2286000" cy="95250"/>
                                    <wp:effectExtent l="0" t="0" r="0" b="0"/>
                                    <wp:docPr id="2004485668" name="Picture 4">
                                      <a:hlinkClick xmlns:a="http://schemas.openxmlformats.org/drawingml/2006/main" r:id="rId9" tgtFrame="_blank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>
                                              <a:hlinkClick r:id="rId9" tgtFrame="_blank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286000" cy="952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  <w:tr w:rsidR="00DD7ECF" w14:paraId="56B2C115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368627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43"/>
                                <w:gridCol w:w="3115"/>
                                <w:gridCol w:w="242"/>
                              </w:tblGrid>
                              <w:tr w:rsidR="00DD7ECF" w14:paraId="5D6BC731" w14:textId="77777777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5D7298BA" w14:textId="0D80EB29" w:rsidR="00DD7ECF" w:rsidRDefault="00DD7ECF">
                                    <w:pPr>
                                      <w:rPr>
                                        <w:rFonts w:eastAsia="Times New Roman" w:cs="Aptos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eastAsia="Times New Roman" w:cs="Aptos"/>
                                        <w:noProof/>
                                        <w:color w:val="0000FF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drawing>
                                        <wp:inline distT="0" distB="0" distL="0" distR="0" wp14:anchorId="77E74554" wp14:editId="3E16D89E">
                                          <wp:extent cx="142875" cy="190500"/>
                                          <wp:effectExtent l="0" t="0" r="0" b="0"/>
                                          <wp:docPr id="437236261" name="Picture 3">
                                            <a:hlinkClick xmlns:a="http://schemas.openxmlformats.org/drawingml/2006/main" r:id="rId9" tgtFrame="_blank"/>
                                          </wp:docPr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3">
                                                    <a:hlinkClick r:id="rId9" tgtFrame="_blank"/>
                                                  </pic:cNvPr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0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42875" cy="19050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50" w:type="dxa"/>
                                      <w:bottom w:w="0" w:type="dxa"/>
                                      <w:right w:w="150" w:type="dxa"/>
                                    </w:tcMar>
                                    <w:vAlign w:val="center"/>
                                    <w:hideMark/>
                                  </w:tcPr>
                                  <w:p w14:paraId="1059F59C" w14:textId="77777777" w:rsidR="00DD7ECF" w:rsidRDefault="00136B71">
                                    <w:pPr>
                                      <w:jc w:val="center"/>
                                      <w:rPr>
                                        <w:rFonts w:ascii="Arial" w:eastAsia="Times New Roman" w:hAnsi="Arial" w:cs="Arial"/>
                                        <w:color w:val="FFFFFF"/>
                                        <w:kern w:val="0"/>
                                        <w:sz w:val="21"/>
                                        <w:szCs w:val="21"/>
                                        <w14:ligatures w14:val="none"/>
                                      </w:rPr>
                                    </w:pPr>
                                    <w:hyperlink r:id="rId11" w:tgtFrame="_blank" w:history="1">
                                      <w:r w:rsidR="00DD7ECF">
                                        <w:rPr>
                                          <w:rStyle w:val="Hyperlink"/>
                                          <w:rFonts w:ascii="Arial" w:eastAsia="Times New Roman" w:hAnsi="Arial" w:cs="Arial"/>
                                          <w:b/>
                                          <w:bCs/>
                                          <w:color w:val="FFFFFF"/>
                                          <w:kern w:val="0"/>
                                          <w:sz w:val="21"/>
                                          <w:szCs w:val="21"/>
                                          <w:u w:val="none"/>
                                          <w14:ligatures w14:val="none"/>
                                        </w:rPr>
                                        <w:t>Visit the Community Zone</w:t>
                                      </w:r>
                                    </w:hyperlink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66301392" w14:textId="1AF6B752" w:rsidR="00DD7ECF" w:rsidRDefault="00DD7ECF">
                                    <w:pPr>
                                      <w:jc w:val="right"/>
                                      <w:rPr>
                                        <w:rFonts w:eastAsia="Times New Roman" w:cs="Aptos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eastAsia="Times New Roman" w:cs="Aptos"/>
                                        <w:noProof/>
                                        <w:color w:val="0000FF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drawing>
                                        <wp:inline distT="0" distB="0" distL="0" distR="0" wp14:anchorId="7E5B90DD" wp14:editId="2AEE81CF">
                                          <wp:extent cx="142875" cy="190500"/>
                                          <wp:effectExtent l="0" t="0" r="0" b="0"/>
                                          <wp:docPr id="811139027" name="Picture 2">
                                            <a:hlinkClick xmlns:a="http://schemas.openxmlformats.org/drawingml/2006/main" r:id="rId9" tgtFrame="_blank"/>
                                          </wp:docPr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2">
                                                    <a:hlinkClick r:id="rId9" tgtFrame="_blank"/>
                                                  </pic:cNvPr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0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42875" cy="19050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14:paraId="0AC58602" w14:textId="77777777" w:rsidR="00DD7ECF" w:rsidRDefault="00DD7ECF">
                              <w:pPr>
                                <w:jc w:val="center"/>
                                <w:rPr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DD7ECF" w14:paraId="5CD7F426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368627"/>
                              <w:hideMark/>
                            </w:tcPr>
                            <w:p w14:paraId="22A631F9" w14:textId="3E534DD2" w:rsidR="00DD7ECF" w:rsidRDefault="00DD7ECF">
                              <w:pPr>
                                <w:rPr>
                                  <w:rFonts w:eastAsia="Times New Roman" w:cs="Aptos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>
                                <w:rPr>
                                  <w:rFonts w:eastAsia="Times New Roman" w:cs="Aptos"/>
                                  <w:noProof/>
                                  <w:color w:val="0000FF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  <w:drawing>
                                  <wp:inline distT="0" distB="0" distL="0" distR="0" wp14:anchorId="19D1571D" wp14:editId="78DC8124">
                                    <wp:extent cx="2286000" cy="95250"/>
                                    <wp:effectExtent l="0" t="0" r="0" b="0"/>
                                    <wp:docPr id="39104542" name="Picture 1">
                                      <a:hlinkClick xmlns:a="http://schemas.openxmlformats.org/drawingml/2006/main" r:id="rId11" tgtFrame="_blank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>
                                              <a:hlinkClick r:id="rId11" tgtFrame="_blank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286000" cy="952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63BE35B6" w14:textId="77777777" w:rsidR="00DD7ECF" w:rsidRDefault="00DD7ECF">
                        <w:pPr>
                          <w:jc w:val="center"/>
                          <w:rPr>
                            <w:kern w:val="0"/>
                            <w14:ligatures w14:val="none"/>
                          </w:rPr>
                        </w:pPr>
                      </w:p>
                    </w:tc>
                  </w:tr>
                </w:tbl>
                <w:p w14:paraId="38B74792" w14:textId="77777777" w:rsidR="00DD7ECF" w:rsidRDefault="00DD7ECF">
                  <w:pPr>
                    <w:jc w:val="center"/>
                    <w:rPr>
                      <w:kern w:val="0"/>
                      <w14:ligatures w14:val="none"/>
                    </w:rPr>
                  </w:pPr>
                </w:p>
              </w:tc>
            </w:tr>
            <w:tr w:rsidR="00DD7ECF" w14:paraId="2EF492F4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8EEEE"/>
                  <w:tcMar>
                    <w:top w:w="450" w:type="dxa"/>
                    <w:left w:w="0" w:type="dxa"/>
                    <w:bottom w:w="450" w:type="dxa"/>
                    <w:right w:w="0" w:type="dxa"/>
                  </w:tcMar>
                  <w:hideMark/>
                </w:tcPr>
                <w:tbl>
                  <w:tblPr>
                    <w:tblW w:w="8340" w:type="dxa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340"/>
                  </w:tblGrid>
                  <w:tr w:rsidR="00DD7ECF" w14:paraId="0EEC682F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hideMark/>
                      </w:tcPr>
                      <w:p w14:paraId="6BC8BC4B" w14:textId="77777777" w:rsidR="00DD7ECF" w:rsidRDefault="00136B71">
                        <w:pPr>
                          <w:spacing w:line="210" w:lineRule="atLeast"/>
                          <w:jc w:val="center"/>
                          <w:rPr>
                            <w:rFonts w:ascii="Arial" w:eastAsia="Times New Roman" w:hAnsi="Arial" w:cs="Arial"/>
                            <w:color w:val="000000"/>
                            <w:kern w:val="0"/>
                            <w:sz w:val="17"/>
                            <w:szCs w:val="17"/>
                            <w14:ligatures w14:val="none"/>
                          </w:rPr>
                        </w:pPr>
                        <w:hyperlink r:id="rId12" w:tgtFrame="_blank" w:history="1">
                          <w:r w:rsidR="00DD7ECF">
                            <w:rPr>
                              <w:rStyle w:val="Hyperlink"/>
                              <w:rFonts w:ascii="Arial" w:eastAsia="Times New Roman" w:hAnsi="Arial" w:cs="Arial"/>
                              <w:color w:val="1C5AAE"/>
                              <w:kern w:val="0"/>
                              <w:sz w:val="17"/>
                              <w:szCs w:val="17"/>
                              <w14:ligatures w14:val="none"/>
                            </w:rPr>
                            <w:t>Privacy Policy</w:t>
                          </w:r>
                        </w:hyperlink>
                        <w:r w:rsidR="00DD7ECF">
                          <w:rPr>
                            <w:rFonts w:ascii="Arial" w:eastAsia="Times New Roman" w:hAnsi="Arial" w:cs="Arial"/>
                            <w:color w:val="000000"/>
                            <w:kern w:val="0"/>
                            <w:sz w:val="17"/>
                            <w:szCs w:val="17"/>
                            <w14:ligatures w14:val="none"/>
                          </w:rPr>
                          <w:t> | </w:t>
                        </w:r>
                        <w:hyperlink r:id="rId13" w:tgtFrame="_blank" w:history="1">
                          <w:r w:rsidR="00DD7ECF">
                            <w:rPr>
                              <w:rStyle w:val="Hyperlink"/>
                              <w:rFonts w:ascii="Arial" w:eastAsia="Times New Roman" w:hAnsi="Arial" w:cs="Arial"/>
                              <w:color w:val="1C5AAE"/>
                              <w:kern w:val="0"/>
                              <w:sz w:val="17"/>
                              <w:szCs w:val="17"/>
                              <w14:ligatures w14:val="none"/>
                            </w:rPr>
                            <w:t>Terms of Use</w:t>
                          </w:r>
                        </w:hyperlink>
                      </w:p>
                    </w:tc>
                  </w:tr>
                  <w:tr w:rsidR="00DD7ECF" w14:paraId="38B69795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300" w:type="dxa"/>
                          <w:left w:w="0" w:type="dxa"/>
                          <w:bottom w:w="75" w:type="dxa"/>
                          <w:right w:w="0" w:type="dxa"/>
                        </w:tcMar>
                        <w:hideMark/>
                      </w:tcPr>
                      <w:p w14:paraId="1E658BF2" w14:textId="77777777" w:rsidR="00DD7ECF" w:rsidRDefault="00DD7ECF">
                        <w:pPr>
                          <w:spacing w:line="255" w:lineRule="atLeast"/>
                          <w:rPr>
                            <w:rFonts w:ascii="Arial" w:eastAsia="Times New Roman" w:hAnsi="Arial" w:cs="Arial"/>
                            <w:color w:val="000000"/>
                            <w:kern w:val="0"/>
                            <w:sz w:val="17"/>
                            <w:szCs w:val="17"/>
                            <w14:ligatures w14:val="none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kern w:val="0"/>
                            <w:sz w:val="21"/>
                            <w:szCs w:val="21"/>
                            <w14:ligatures w14:val="none"/>
                          </w:rPr>
                          <w:t>Investing involves risk, including risk of loss.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kern w:val="0"/>
                            <w:sz w:val="17"/>
                            <w:szCs w:val="17"/>
                            <w14:ligatures w14:val="none"/>
                          </w:rPr>
                          <w:br/>
                          <w:t>Please do not reply to this message. This mailbox is not monitored and you will not receive a response.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kern w:val="0"/>
                            <w:sz w:val="17"/>
                            <w:szCs w:val="17"/>
                            <w14:ligatures w14:val="none"/>
                          </w:rPr>
                          <w:br/>
                          <w:t>The Fidelity Investments logo is a registered service mark of FMR LLC.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kern w:val="0"/>
                            <w:sz w:val="17"/>
                            <w:szCs w:val="17"/>
                            <w14:ligatures w14:val="none"/>
                          </w:rPr>
                          <w:br/>
                          <w:t>Fidelity Brokerage Services LLC, Member NYSE, </w:t>
                        </w:r>
                        <w:hyperlink r:id="rId14" w:tgtFrame="_blank" w:history="1">
                          <w:r>
                            <w:rPr>
                              <w:rStyle w:val="Hyperlink"/>
                              <w:rFonts w:ascii="Arial" w:eastAsia="Times New Roman" w:hAnsi="Arial" w:cs="Arial"/>
                              <w:color w:val="0074FF"/>
                              <w:kern w:val="0"/>
                              <w:sz w:val="17"/>
                              <w:szCs w:val="17"/>
                              <w14:ligatures w14:val="none"/>
                            </w:rPr>
                            <w:t>SIPC</w:t>
                          </w:r>
                        </w:hyperlink>
                        <w:r>
                          <w:rPr>
                            <w:rFonts w:ascii="Arial" w:eastAsia="Times New Roman" w:hAnsi="Arial" w:cs="Arial"/>
                            <w:color w:val="000000"/>
                            <w:kern w:val="0"/>
                            <w:sz w:val="17"/>
                            <w:szCs w:val="17"/>
                            <w14:ligatures w14:val="none"/>
                          </w:rPr>
                          <w:t>, 900 Salem Street, Smithfield, RI 02917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kern w:val="0"/>
                            <w:sz w:val="17"/>
                            <w:szCs w:val="17"/>
                            <w14:ligatures w14:val="none"/>
                          </w:rPr>
                          <w:br/>
                          <w:t>© 2024 FMR LLC. All rights reserved.</w:t>
                        </w:r>
                        <w:r>
                          <w:rPr>
                            <w:rFonts w:ascii="Arial" w:eastAsia="Times New Roman" w:hAnsi="Arial" w:cs="Arial"/>
                            <w:color w:val="000000"/>
                            <w:kern w:val="0"/>
                            <w:sz w:val="17"/>
                            <w:szCs w:val="17"/>
                            <w14:ligatures w14:val="none"/>
                          </w:rPr>
                          <w:br/>
                          <w:t>1165796.2.0</w:t>
                        </w:r>
                      </w:p>
                    </w:tc>
                  </w:tr>
                </w:tbl>
                <w:p w14:paraId="4FE212B5" w14:textId="77777777" w:rsidR="00DD7ECF" w:rsidRDefault="00DD7ECF">
                  <w:pPr>
                    <w:jc w:val="center"/>
                    <w:rPr>
                      <w:kern w:val="0"/>
                      <w14:ligatures w14:val="none"/>
                    </w:rPr>
                  </w:pPr>
                </w:p>
              </w:tc>
            </w:tr>
          </w:tbl>
          <w:p w14:paraId="77B67560" w14:textId="77777777" w:rsidR="00DD7ECF" w:rsidRDefault="00DD7ECF">
            <w:pPr>
              <w:jc w:val="center"/>
              <w:rPr>
                <w:kern w:val="0"/>
                <w14:ligatures w14:val="none"/>
              </w:rPr>
            </w:pPr>
          </w:p>
        </w:tc>
      </w:tr>
    </w:tbl>
    <w:p w14:paraId="33837053" w14:textId="77777777" w:rsidR="006C7FD1" w:rsidRPr="00DD7ECF" w:rsidRDefault="006C7FD1" w:rsidP="00DD7ECF"/>
    <w:sectPr w:rsidR="006C7FD1" w:rsidRPr="00DD7ECF" w:rsidSect="00DD7ECF">
      <w:pgSz w:w="12240" w:h="17280"/>
      <w:pgMar w:top="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ECF"/>
    <w:rsid w:val="00136B71"/>
    <w:rsid w:val="004B5E25"/>
    <w:rsid w:val="006C7FD1"/>
    <w:rsid w:val="00DD7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EA8CB"/>
  <w15:chartTrackingRefBased/>
  <w15:docId w15:val="{A0BDA6A1-BBA9-4A1F-921F-A833599D5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7ECF"/>
    <w:pPr>
      <w:spacing w:after="0" w:line="240" w:lineRule="auto"/>
    </w:pPr>
    <w:rPr>
      <w:rFonts w:ascii="Aptos" w:eastAsia="Aptos" w:hAnsi="Aptos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D7ECF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59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nb.fidelity.com/public/nb/default/resourceslibrary/articles/termsofuse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gif"/><Relationship Id="rId12" Type="http://schemas.openxmlformats.org/officeDocument/2006/relationships/hyperlink" Target="https://nb.fidelity.com/public/nb/default/resourceslibrary/articles/privacypolicy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nb.fidelity.com/public/nbpreloginnav/spa/fidelitywork/core/military-financial-planning?ccsource=wi_email_veterans_dayemployee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3.gif"/><Relationship Id="rId4" Type="http://schemas.openxmlformats.org/officeDocument/2006/relationships/styles" Target="styles.xml"/><Relationship Id="rId9" Type="http://schemas.openxmlformats.org/officeDocument/2006/relationships/hyperlink" Target="https://nb.fidelity.com/public/nbpreloginnav/spa/fidelitywork/core/military-financial-planning?ccsource=wi_email_veterans_dayemployee" TargetMode="External"/><Relationship Id="rId14" Type="http://schemas.openxmlformats.org/officeDocument/2006/relationships/hyperlink" Target="https://www.sipc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b850246-5731-4482-8479-e4d01515f4ee" xsi:nil="true"/>
    <lcf76f155ced4ddcb4097134ff3c332f xmlns="2955ebd9-34e0-49f4-8eac-5f2848c7837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6BF498541A2F48A5753F7F6C7052A7" ma:contentTypeVersion="14" ma:contentTypeDescription="Create a new document." ma:contentTypeScope="" ma:versionID="3bce5825536fc23a4c4bbbdab068f08c">
  <xsd:schema xmlns:xsd="http://www.w3.org/2001/XMLSchema" xmlns:xs="http://www.w3.org/2001/XMLSchema" xmlns:p="http://schemas.microsoft.com/office/2006/metadata/properties" xmlns:ns2="2955ebd9-34e0-49f4-8eac-5f2848c78373" xmlns:ns3="bb850246-5731-4482-8479-e4d01515f4ee" targetNamespace="http://schemas.microsoft.com/office/2006/metadata/properties" ma:root="true" ma:fieldsID="8922c1a7172e9d15aacc43f3cb8fbeb5" ns2:_="" ns3:_="">
    <xsd:import namespace="2955ebd9-34e0-49f4-8eac-5f2848c78373"/>
    <xsd:import namespace="bb850246-5731-4482-8479-e4d01515f4e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55ebd9-34e0-49f4-8eac-5f2848c783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a5aa731-3981-4550-91eb-7c82700285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850246-5731-4482-8479-e4d01515f4e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c4b02f03-c571-4568-8f11-5dde49d3045c}" ma:internalName="TaxCatchAll" ma:showField="CatchAllData" ma:web="bb850246-5731-4482-8479-e4d01515f4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799E6D6-9B3F-4D24-9083-EEC6B3FFD7A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7D29AAD-D79A-4006-B099-3705858AC895}">
  <ds:schemaRefs>
    <ds:schemaRef ds:uri="http://schemas.microsoft.com/office/infopath/2007/PartnerControls"/>
    <ds:schemaRef ds:uri="http://purl.org/dc/dcmitype/"/>
    <ds:schemaRef ds:uri="http://schemas.microsoft.com/office/2006/documentManagement/types"/>
    <ds:schemaRef ds:uri="http://schemas.microsoft.com/office/2006/metadata/properties"/>
    <ds:schemaRef ds:uri="http://purl.org/dc/elements/1.1/"/>
    <ds:schemaRef ds:uri="bb850246-5731-4482-8479-e4d01515f4ee"/>
    <ds:schemaRef ds:uri="http://schemas.openxmlformats.org/package/2006/metadata/core-properties"/>
    <ds:schemaRef ds:uri="http://purl.org/dc/terms/"/>
    <ds:schemaRef ds:uri="2955ebd9-34e0-49f4-8eac-5f2848c78373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C6A1DB8A-53C2-4E89-A86A-EEA916B897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55ebd9-34e0-49f4-8eac-5f2848c78373"/>
    <ds:schemaRef ds:uri="bb850246-5731-4482-8479-e4d01515f4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1492</Characters>
  <Application>Microsoft Office Word</Application>
  <DocSecurity>0</DocSecurity>
  <Lines>12</Lines>
  <Paragraphs>3</Paragraphs>
  <ScaleCrop>false</ScaleCrop>
  <Company>Fidelity Investments</Company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Dristas, William</dc:creator>
  <cp:keywords/>
  <dc:description/>
  <cp:lastModifiedBy>Stockelman, Jordan</cp:lastModifiedBy>
  <cp:revision>2</cp:revision>
  <dcterms:created xsi:type="dcterms:W3CDTF">2024-10-15T12:08:00Z</dcterms:created>
  <dcterms:modified xsi:type="dcterms:W3CDTF">2024-10-15T12:08:00Z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0x010100C96BF498541A2F48A5753F7F6C7052A7</vt:lpwstr>
  </property>
</Properties>
</file>